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E44" w:rsidRPr="002242F4" w:rsidRDefault="00D84E44">
      <w:pPr>
        <w:rPr>
          <w:rFonts w:ascii="Arial" w:hAnsi="Arial" w:cs="Arial"/>
        </w:rPr>
      </w:pPr>
    </w:p>
    <w:tbl>
      <w:tblPr>
        <w:tblW w:w="9464" w:type="dxa"/>
        <w:tblLook w:val="04A0"/>
      </w:tblPr>
      <w:tblGrid>
        <w:gridCol w:w="806"/>
        <w:gridCol w:w="1177"/>
        <w:gridCol w:w="1831"/>
        <w:gridCol w:w="1577"/>
        <w:gridCol w:w="2301"/>
        <w:gridCol w:w="1884"/>
      </w:tblGrid>
      <w:tr w:rsidR="00D84E44" w:rsidRPr="002242F4" w:rsidTr="002242F4">
        <w:trPr>
          <w:trHeight w:val="315"/>
        </w:trPr>
        <w:tc>
          <w:tcPr>
            <w:tcW w:w="809" w:type="dxa"/>
            <w:tcBorders>
              <w:top w:val="single" w:sz="4" w:space="0" w:color="auto"/>
              <w:left w:val="single" w:sz="4" w:space="0" w:color="auto"/>
              <w:bottom w:val="nil"/>
              <w:right w:val="single" w:sz="4" w:space="0" w:color="auto"/>
            </w:tcBorders>
            <w:shd w:val="clear" w:color="auto" w:fill="auto"/>
            <w:noWrap/>
            <w:vAlign w:val="bottom"/>
            <w:hideMark/>
          </w:tcPr>
          <w:p w:rsidR="00D84E44" w:rsidRPr="002242F4" w:rsidRDefault="00D84E44" w:rsidP="00E73E03">
            <w:pPr>
              <w:spacing w:after="0" w:line="240" w:lineRule="auto"/>
              <w:rPr>
                <w:rFonts w:ascii="Arial" w:eastAsia="Times New Roman" w:hAnsi="Arial" w:cs="Arial"/>
                <w:b/>
                <w:bCs/>
                <w:color w:val="000000"/>
              </w:rPr>
            </w:pPr>
            <w:r w:rsidRPr="002242F4">
              <w:rPr>
                <w:rFonts w:ascii="Arial" w:eastAsia="Times New Roman" w:hAnsi="Arial" w:cs="Arial"/>
                <w:b/>
                <w:bCs/>
                <w:color w:val="000000"/>
              </w:rPr>
              <w:t xml:space="preserve">Year </w:t>
            </w:r>
          </w:p>
        </w:tc>
        <w:tc>
          <w:tcPr>
            <w:tcW w:w="1183" w:type="dxa"/>
            <w:tcBorders>
              <w:top w:val="single" w:sz="4" w:space="0" w:color="auto"/>
              <w:left w:val="nil"/>
              <w:bottom w:val="nil"/>
              <w:right w:val="single" w:sz="4" w:space="0" w:color="auto"/>
            </w:tcBorders>
            <w:shd w:val="clear" w:color="auto" w:fill="auto"/>
            <w:noWrap/>
            <w:vAlign w:val="bottom"/>
            <w:hideMark/>
          </w:tcPr>
          <w:p w:rsidR="00D84E44" w:rsidRPr="002242F4" w:rsidRDefault="00D84E44" w:rsidP="00E73E03">
            <w:pPr>
              <w:spacing w:after="0" w:line="240" w:lineRule="auto"/>
              <w:rPr>
                <w:rFonts w:ascii="Arial" w:eastAsia="Times New Roman" w:hAnsi="Arial" w:cs="Arial"/>
                <w:b/>
                <w:bCs/>
                <w:color w:val="000000"/>
              </w:rPr>
            </w:pPr>
            <w:r w:rsidRPr="002242F4">
              <w:rPr>
                <w:rFonts w:ascii="Arial" w:eastAsia="Times New Roman" w:hAnsi="Arial" w:cs="Arial"/>
                <w:b/>
                <w:bCs/>
                <w:color w:val="000000"/>
              </w:rPr>
              <w:t xml:space="preserve">Country of Origin </w:t>
            </w:r>
          </w:p>
        </w:tc>
        <w:tc>
          <w:tcPr>
            <w:tcW w:w="1841" w:type="dxa"/>
            <w:tcBorders>
              <w:top w:val="single" w:sz="4" w:space="0" w:color="auto"/>
              <w:left w:val="nil"/>
              <w:bottom w:val="nil"/>
              <w:right w:val="single" w:sz="4" w:space="0" w:color="auto"/>
            </w:tcBorders>
            <w:shd w:val="clear" w:color="auto" w:fill="auto"/>
            <w:noWrap/>
            <w:vAlign w:val="bottom"/>
            <w:hideMark/>
          </w:tcPr>
          <w:p w:rsidR="00D84E44" w:rsidRPr="002242F4" w:rsidRDefault="00D84E44" w:rsidP="00E73E03">
            <w:pPr>
              <w:spacing w:after="0" w:line="240" w:lineRule="auto"/>
              <w:rPr>
                <w:rFonts w:ascii="Arial" w:eastAsia="Times New Roman" w:hAnsi="Arial" w:cs="Arial"/>
                <w:b/>
                <w:bCs/>
                <w:color w:val="000000"/>
              </w:rPr>
            </w:pPr>
            <w:r w:rsidRPr="002242F4">
              <w:rPr>
                <w:rFonts w:ascii="Arial" w:eastAsia="Times New Roman" w:hAnsi="Arial" w:cs="Arial"/>
                <w:b/>
                <w:bCs/>
                <w:color w:val="000000"/>
              </w:rPr>
              <w:t xml:space="preserve">Aim </w:t>
            </w:r>
          </w:p>
        </w:tc>
        <w:tc>
          <w:tcPr>
            <w:tcW w:w="1423" w:type="dxa"/>
            <w:tcBorders>
              <w:top w:val="single" w:sz="4" w:space="0" w:color="auto"/>
              <w:left w:val="nil"/>
              <w:bottom w:val="nil"/>
              <w:right w:val="single" w:sz="4" w:space="0" w:color="auto"/>
            </w:tcBorders>
            <w:shd w:val="clear" w:color="auto" w:fill="auto"/>
            <w:noWrap/>
            <w:vAlign w:val="bottom"/>
            <w:hideMark/>
          </w:tcPr>
          <w:p w:rsidR="00D84E44" w:rsidRPr="002242F4" w:rsidRDefault="00D84E44" w:rsidP="00E73E03">
            <w:pPr>
              <w:spacing w:after="0" w:line="240" w:lineRule="auto"/>
              <w:rPr>
                <w:rFonts w:ascii="Arial" w:eastAsia="Times New Roman" w:hAnsi="Arial" w:cs="Arial"/>
                <w:b/>
                <w:bCs/>
                <w:color w:val="000000"/>
              </w:rPr>
            </w:pPr>
            <w:r w:rsidRPr="002242F4">
              <w:rPr>
                <w:rFonts w:ascii="Arial" w:eastAsia="Times New Roman" w:hAnsi="Arial" w:cs="Arial"/>
                <w:b/>
                <w:bCs/>
                <w:color w:val="000000"/>
              </w:rPr>
              <w:t xml:space="preserve">Methodology </w:t>
            </w:r>
          </w:p>
        </w:tc>
        <w:tc>
          <w:tcPr>
            <w:tcW w:w="2314" w:type="dxa"/>
            <w:tcBorders>
              <w:top w:val="single" w:sz="4" w:space="0" w:color="auto"/>
              <w:left w:val="nil"/>
              <w:bottom w:val="nil"/>
              <w:right w:val="single" w:sz="4" w:space="0" w:color="auto"/>
            </w:tcBorders>
            <w:shd w:val="clear" w:color="auto" w:fill="auto"/>
            <w:noWrap/>
            <w:vAlign w:val="bottom"/>
            <w:hideMark/>
          </w:tcPr>
          <w:p w:rsidR="00D84E44" w:rsidRPr="002242F4" w:rsidRDefault="00D84E44" w:rsidP="00E73E03">
            <w:pPr>
              <w:spacing w:after="0" w:line="240" w:lineRule="auto"/>
              <w:rPr>
                <w:rFonts w:ascii="Arial" w:eastAsia="Times New Roman" w:hAnsi="Arial" w:cs="Arial"/>
                <w:b/>
                <w:bCs/>
                <w:color w:val="000000"/>
              </w:rPr>
            </w:pPr>
            <w:r w:rsidRPr="002242F4">
              <w:rPr>
                <w:rFonts w:ascii="Arial" w:eastAsia="Times New Roman" w:hAnsi="Arial" w:cs="Arial"/>
                <w:b/>
                <w:bCs/>
                <w:color w:val="000000"/>
              </w:rPr>
              <w:t xml:space="preserve">Key Findings </w:t>
            </w:r>
          </w:p>
        </w:tc>
        <w:tc>
          <w:tcPr>
            <w:tcW w:w="1894" w:type="dxa"/>
            <w:tcBorders>
              <w:top w:val="single" w:sz="4" w:space="0" w:color="auto"/>
              <w:left w:val="nil"/>
              <w:bottom w:val="nil"/>
              <w:right w:val="single" w:sz="4" w:space="0" w:color="auto"/>
            </w:tcBorders>
            <w:shd w:val="clear" w:color="auto" w:fill="auto"/>
            <w:noWrap/>
            <w:vAlign w:val="bottom"/>
            <w:hideMark/>
          </w:tcPr>
          <w:p w:rsidR="00D84E44" w:rsidRPr="002242F4" w:rsidRDefault="00D84E44" w:rsidP="00E73E03">
            <w:pPr>
              <w:spacing w:after="0" w:line="240" w:lineRule="auto"/>
              <w:rPr>
                <w:rFonts w:ascii="Arial" w:eastAsia="Times New Roman" w:hAnsi="Arial" w:cs="Arial"/>
                <w:b/>
                <w:bCs/>
                <w:color w:val="000000"/>
              </w:rPr>
            </w:pPr>
            <w:r w:rsidRPr="002242F4">
              <w:rPr>
                <w:rFonts w:ascii="Arial" w:eastAsia="Times New Roman" w:hAnsi="Arial" w:cs="Arial"/>
                <w:b/>
                <w:bCs/>
                <w:color w:val="000000"/>
              </w:rPr>
              <w:t xml:space="preserve">Research Gap </w:t>
            </w:r>
          </w:p>
        </w:tc>
      </w:tr>
      <w:tr w:rsidR="00D84E44" w:rsidRPr="002242F4" w:rsidTr="002242F4">
        <w:trPr>
          <w:trHeight w:val="2205"/>
        </w:trPr>
        <w:tc>
          <w:tcPr>
            <w:tcW w:w="809" w:type="dxa"/>
            <w:tcBorders>
              <w:top w:val="single" w:sz="4" w:space="0" w:color="auto"/>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t>2000</w:t>
            </w:r>
          </w:p>
        </w:tc>
        <w:tc>
          <w:tcPr>
            <w:tcW w:w="1183" w:type="dxa"/>
            <w:tcBorders>
              <w:top w:val="single" w:sz="4" w:space="0" w:color="auto"/>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USA</w:t>
            </w:r>
          </w:p>
        </w:tc>
        <w:tc>
          <w:tcPr>
            <w:tcW w:w="1841" w:type="dxa"/>
            <w:tcBorders>
              <w:top w:val="single" w:sz="4" w:space="0" w:color="auto"/>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Present an analysis of the various aspects of the space elevator, and determine the challenges that the endeavour is likely to encounter, and possible solutions for the challenges using current and near-future technology.</w:t>
            </w:r>
          </w:p>
        </w:tc>
        <w:tc>
          <w:tcPr>
            <w:tcW w:w="1423" w:type="dxa"/>
            <w:tcBorders>
              <w:top w:val="single" w:sz="4" w:space="0" w:color="auto"/>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Primary Research Article</w:t>
            </w:r>
          </w:p>
        </w:tc>
        <w:tc>
          <w:tcPr>
            <w:tcW w:w="2314" w:type="dxa"/>
            <w:tcBorders>
              <w:top w:val="single" w:sz="4" w:space="0" w:color="auto"/>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The key challenge relates to the construction of the elevator cable, which will likely be addressed conclusively using carbon nanotubes.                                         Other challenges </w:t>
            </w:r>
            <w:bookmarkStart w:id="0" w:name="_GoBack"/>
            <w:bookmarkEnd w:id="0"/>
            <w:r w:rsidRPr="002242F4">
              <w:rPr>
                <w:rFonts w:ascii="Arial" w:eastAsia="Times New Roman" w:hAnsi="Arial" w:cs="Arial"/>
                <w:color w:val="000000"/>
              </w:rPr>
              <w:t>including determining the optimal location on the equator to establish the earth's end of cable are not unsolvable using existing or near-future technology</w:t>
            </w:r>
          </w:p>
        </w:tc>
        <w:tc>
          <w:tcPr>
            <w:tcW w:w="1894" w:type="dxa"/>
            <w:tcBorders>
              <w:top w:val="single" w:sz="4" w:space="0" w:color="auto"/>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More studies needed to determine additional challenges that might be encountered, to ensure they are addressed before the development of the space elevator.</w:t>
            </w:r>
          </w:p>
        </w:tc>
      </w:tr>
      <w:tr w:rsidR="00D84E44" w:rsidRPr="002242F4" w:rsidTr="002242F4">
        <w:trPr>
          <w:trHeight w:val="3465"/>
        </w:trPr>
        <w:tc>
          <w:tcPr>
            <w:tcW w:w="809" w:type="dxa"/>
            <w:tcBorders>
              <w:top w:val="nil"/>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t>2006</w:t>
            </w:r>
          </w:p>
        </w:tc>
        <w:tc>
          <w:tcPr>
            <w:tcW w:w="118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USA</w:t>
            </w:r>
          </w:p>
        </w:tc>
        <w:tc>
          <w:tcPr>
            <w:tcW w:w="1841"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Determine the feasibility of a space elevator in the context of the existing space exploration policy.</w:t>
            </w:r>
          </w:p>
        </w:tc>
        <w:tc>
          <w:tcPr>
            <w:tcW w:w="1423"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Review Article</w:t>
            </w:r>
          </w:p>
        </w:tc>
        <w:tc>
          <w:tcPr>
            <w:tcW w:w="2314" w:type="dxa"/>
            <w:tcBorders>
              <w:top w:val="nil"/>
              <w:left w:val="nil"/>
              <w:bottom w:val="nil"/>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The paper determines that all of the space elevator's components will need to be developed independently inorder to meet separate near-term objectives.                             The space elevator will need to be viewed as as one of the many possible applications for the developed technologies in the pursuit of the research and development of the technology suited for space travel.                                                   Once the enabling technologies are mature enough, they may eventually be incorporated in the construction of a full-scale space elevator for Earth's surface to </w:t>
            </w:r>
            <w:r w:rsidRPr="002242F4">
              <w:rPr>
                <w:rFonts w:ascii="Arial" w:eastAsia="Times New Roman" w:hAnsi="Arial" w:cs="Arial"/>
                <w:color w:val="000000"/>
              </w:rPr>
              <w:lastRenderedPageBreak/>
              <w:t xml:space="preserve">geosynchronous orbit and beyond. </w:t>
            </w:r>
          </w:p>
        </w:tc>
        <w:tc>
          <w:tcPr>
            <w:tcW w:w="189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lastRenderedPageBreak/>
              <w:t xml:space="preserve">More studies are needed to determine how existing technologies tally with the required components of a space elevator, so that the technologies and materials can be developed independently, with the hope that once mature, they can eventually be incorporated into the development of a full-scale space elevator. </w:t>
            </w:r>
          </w:p>
        </w:tc>
      </w:tr>
      <w:tr w:rsidR="00D84E44" w:rsidRPr="002242F4" w:rsidTr="002242F4">
        <w:trPr>
          <w:trHeight w:val="4095"/>
        </w:trPr>
        <w:tc>
          <w:tcPr>
            <w:tcW w:w="809" w:type="dxa"/>
            <w:tcBorders>
              <w:top w:val="nil"/>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lastRenderedPageBreak/>
              <w:t>2019</w:t>
            </w:r>
          </w:p>
        </w:tc>
        <w:tc>
          <w:tcPr>
            <w:tcW w:w="118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USA</w:t>
            </w:r>
          </w:p>
        </w:tc>
        <w:tc>
          <w:tcPr>
            <w:tcW w:w="1841"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 To quantify, assess,</w:t>
            </w:r>
            <w:r w:rsidRPr="002242F4">
              <w:rPr>
                <w:rFonts w:ascii="Arial" w:eastAsia="Times New Roman" w:hAnsi="Arial" w:cs="Arial"/>
                <w:color w:val="000000"/>
              </w:rPr>
              <w:br/>
              <w:t>compare, and suggest improvements to the potential environmental and financial performance of three proposed</w:t>
            </w:r>
            <w:r w:rsidRPr="002242F4">
              <w:rPr>
                <w:rFonts w:ascii="Arial" w:eastAsia="Times New Roman" w:hAnsi="Arial" w:cs="Arial"/>
                <w:color w:val="000000"/>
              </w:rPr>
              <w:br/>
              <w:t>space elevator system designs, namely                                                 i.) One-Tether Initial Space Elevator (the base design)                                                           ii.) A Two-Tether</w:t>
            </w:r>
            <w:r w:rsidRPr="002242F4">
              <w:rPr>
                <w:rFonts w:ascii="Arial" w:eastAsia="Times New Roman" w:hAnsi="Arial" w:cs="Arial"/>
                <w:color w:val="000000"/>
              </w:rPr>
              <w:br/>
              <w:t>Initial Space Elevator                                       iii.) An Additional One-Tether Space Elevator</w:t>
            </w:r>
          </w:p>
        </w:tc>
        <w:tc>
          <w:tcPr>
            <w:tcW w:w="1423"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Research Article</w:t>
            </w:r>
          </w:p>
        </w:tc>
        <w:tc>
          <w:tcPr>
            <w:tcW w:w="2314" w:type="dxa"/>
            <w:tcBorders>
              <w:top w:val="single" w:sz="4" w:space="0" w:color="auto"/>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Additional One-Tether Space Elevator scenario had the lowest environmental impact, while the Two-Tether Initial Space Elevator scenario had the lowest production cost per unit mass delivered to orbit.                                                                         The analysis identified system elements for targeted impact reduction, e.g. operational impacts could be significantly reduced by improving the sustainability of terrestrial transportation delivery systems to the space elevator port.         The proposed space elevator design was found to be an environmentally and financially sustainable option for orbital transportation.                                </w:t>
            </w:r>
          </w:p>
        </w:tc>
        <w:tc>
          <w:tcPr>
            <w:tcW w:w="189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Replication of the study for application of sustainability engineering and quantitative sustainability assessment methodologies to the</w:t>
            </w:r>
            <w:r w:rsidRPr="002242F4">
              <w:rPr>
                <w:rFonts w:ascii="Arial" w:eastAsia="Times New Roman" w:hAnsi="Arial" w:cs="Arial"/>
                <w:color w:val="000000"/>
              </w:rPr>
              <w:br/>
              <w:t xml:space="preserve">spacecraft and orbital transportation systems and industries. </w:t>
            </w:r>
          </w:p>
        </w:tc>
      </w:tr>
      <w:tr w:rsidR="00D84E44" w:rsidRPr="002242F4" w:rsidTr="002242F4">
        <w:trPr>
          <w:trHeight w:val="3465"/>
        </w:trPr>
        <w:tc>
          <w:tcPr>
            <w:tcW w:w="809" w:type="dxa"/>
            <w:tcBorders>
              <w:top w:val="nil"/>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lastRenderedPageBreak/>
              <w:t>2007</w:t>
            </w:r>
          </w:p>
        </w:tc>
        <w:tc>
          <w:tcPr>
            <w:tcW w:w="118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USA</w:t>
            </w:r>
          </w:p>
        </w:tc>
        <w:tc>
          <w:tcPr>
            <w:tcW w:w="1841"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Provide an overview of the radiation belts in terms relevant to space elevator studies.                                                                   Compute the expected</w:t>
            </w:r>
            <w:r w:rsidRPr="002242F4">
              <w:rPr>
                <w:rFonts w:ascii="Arial" w:eastAsia="Times New Roman" w:hAnsi="Arial" w:cs="Arial"/>
                <w:color w:val="000000"/>
              </w:rPr>
              <w:br/>
              <w:t>radiation doses, and evaluate the required level of shielding.                                 Offer proposals for passive shielding, and active shielding using magnetic fields.</w:t>
            </w:r>
          </w:p>
        </w:tc>
        <w:tc>
          <w:tcPr>
            <w:tcW w:w="1423"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Research Article</w:t>
            </w:r>
          </w:p>
        </w:tc>
        <w:tc>
          <w:tcPr>
            <w:tcW w:w="231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Shielding the climber from the space radiation with</w:t>
            </w:r>
            <w:r w:rsidRPr="002242F4">
              <w:rPr>
                <w:rFonts w:ascii="Arial" w:eastAsia="Times New Roman" w:hAnsi="Arial" w:cs="Arial"/>
                <w:color w:val="000000"/>
              </w:rPr>
              <w:br/>
              <w:t>aluminum would require approximately 18 × 103 kg of</w:t>
            </w:r>
            <w:r w:rsidRPr="002242F4">
              <w:rPr>
                <w:rFonts w:ascii="Arial" w:eastAsia="Times New Roman" w:hAnsi="Arial" w:cs="Arial"/>
                <w:color w:val="000000"/>
              </w:rPr>
              <w:br/>
              <w:t>the material to shield a compartment about the size of</w:t>
            </w:r>
            <w:r w:rsidRPr="002242F4">
              <w:rPr>
                <w:rFonts w:ascii="Arial" w:eastAsia="Times New Roman" w:hAnsi="Arial" w:cs="Arial"/>
                <w:color w:val="000000"/>
              </w:rPr>
              <w:br/>
              <w:t xml:space="preserve">the early space capsules.                                                            Shielding with a magnetic field would require an extremely large current which would be impossible with resistive materials such as copper.                                                                                There appears to be no simple solution to the problem of shielding the radiation to levels routinely acceptable to human occupants, and providing a solution will impact the economics of the space elevator. </w:t>
            </w:r>
          </w:p>
        </w:tc>
        <w:tc>
          <w:tcPr>
            <w:tcW w:w="189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Other more exotic shielding materials as well as magnetic shielding based on super-conducting materials, need to be investigated as possible solutions to the radiation problem, that would hamper the realisation of a space elevator. </w:t>
            </w:r>
          </w:p>
        </w:tc>
      </w:tr>
      <w:tr w:rsidR="00D84E44" w:rsidRPr="002242F4" w:rsidTr="002242F4">
        <w:trPr>
          <w:trHeight w:val="2835"/>
        </w:trPr>
        <w:tc>
          <w:tcPr>
            <w:tcW w:w="809" w:type="dxa"/>
            <w:tcBorders>
              <w:top w:val="nil"/>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t>2014</w:t>
            </w:r>
          </w:p>
        </w:tc>
        <w:tc>
          <w:tcPr>
            <w:tcW w:w="118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USA</w:t>
            </w:r>
          </w:p>
        </w:tc>
        <w:tc>
          <w:tcPr>
            <w:tcW w:w="1841"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Propose suitable design concepts for the first 40 kilometres of travel, to ensure the success of space elevators.</w:t>
            </w:r>
          </w:p>
        </w:tc>
        <w:tc>
          <w:tcPr>
            <w:tcW w:w="1423"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Research Article</w:t>
            </w:r>
          </w:p>
        </w:tc>
        <w:tc>
          <w:tcPr>
            <w:tcW w:w="231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High Stage One design is proposed for the realisation of space elevator, by simplifying the design of the tether and tether climbers by dealing with atmospheric hazards such as winds and ice independently and transmitting the forces down to the surface. It would use commonly available materials especially Kevlar. By relying on magnetic levitation which is a proven technology, there is </w:t>
            </w:r>
            <w:r w:rsidRPr="002242F4">
              <w:rPr>
                <w:rFonts w:ascii="Arial" w:eastAsia="Times New Roman" w:hAnsi="Arial" w:cs="Arial"/>
                <w:color w:val="000000"/>
              </w:rPr>
              <w:lastRenderedPageBreak/>
              <w:t xml:space="preserve">a high likelihood for the success of the successful development of the space elevator. </w:t>
            </w:r>
          </w:p>
        </w:tc>
        <w:tc>
          <w:tcPr>
            <w:tcW w:w="189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lastRenderedPageBreak/>
              <w:t>The design research is still immature hence more studies will need to undergo a thorough prototyping and development schedule to make it ready for use as part of the space elevator.</w:t>
            </w:r>
          </w:p>
        </w:tc>
      </w:tr>
      <w:tr w:rsidR="00D84E44" w:rsidRPr="002242F4" w:rsidTr="002242F4">
        <w:trPr>
          <w:trHeight w:val="2520"/>
        </w:trPr>
        <w:tc>
          <w:tcPr>
            <w:tcW w:w="809" w:type="dxa"/>
            <w:tcBorders>
              <w:top w:val="nil"/>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lastRenderedPageBreak/>
              <w:t>2020</w:t>
            </w:r>
          </w:p>
        </w:tc>
        <w:tc>
          <w:tcPr>
            <w:tcW w:w="118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Turkey</w:t>
            </w:r>
          </w:p>
        </w:tc>
        <w:tc>
          <w:tcPr>
            <w:tcW w:w="1841"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Focus on the definition of space elevator, and its construction, and present a case for the suitability of the project, as a way of fostering sustainable and affordable space travel.</w:t>
            </w:r>
          </w:p>
        </w:tc>
        <w:tc>
          <w:tcPr>
            <w:tcW w:w="1423"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Review Article</w:t>
            </w:r>
          </w:p>
        </w:tc>
        <w:tc>
          <w:tcPr>
            <w:tcW w:w="231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Despite its complexity and greatness the development of a space elevator is not an impossibility Although it requires profound financial investment; its benefits will outweigh the initial financial costs once it is built. Space elevators will eventually lower the costs for asteroid mining, space logistics, space tourism, space travel and space colonization; all of which will be the mankind’s basic needs to survive soon. </w:t>
            </w:r>
          </w:p>
        </w:tc>
        <w:tc>
          <w:tcPr>
            <w:tcW w:w="189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In the process of realising the space elevator megaproject, the questions that need to be addressed include how to protect the infrastructure from external threats.</w:t>
            </w:r>
          </w:p>
        </w:tc>
      </w:tr>
      <w:tr w:rsidR="00D84E44" w:rsidRPr="002242F4" w:rsidTr="002242F4">
        <w:trPr>
          <w:trHeight w:val="2205"/>
        </w:trPr>
        <w:tc>
          <w:tcPr>
            <w:tcW w:w="809" w:type="dxa"/>
            <w:tcBorders>
              <w:top w:val="nil"/>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t>2007</w:t>
            </w:r>
          </w:p>
        </w:tc>
        <w:tc>
          <w:tcPr>
            <w:tcW w:w="118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Czech Republic </w:t>
            </w:r>
          </w:p>
        </w:tc>
        <w:tc>
          <w:tcPr>
            <w:tcW w:w="1841"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The article focuses on addressing the issue of how the space elevator will avoid collisions with active satellites, space debris, and meteorites. </w:t>
            </w:r>
          </w:p>
        </w:tc>
        <w:tc>
          <w:tcPr>
            <w:tcW w:w="1423"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Research Article</w:t>
            </w:r>
          </w:p>
        </w:tc>
        <w:tc>
          <w:tcPr>
            <w:tcW w:w="231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Within the operational phase, a simple model of space elevator would feature a mass point at the end of a tether beyond the geostationary distance. The tethers and cables will need to be active and have to actively respond locally to any disturbances, whether as a </w:t>
            </w:r>
            <w:r w:rsidRPr="002242F4">
              <w:rPr>
                <w:rFonts w:ascii="Arial" w:eastAsia="Times New Roman" w:hAnsi="Arial" w:cs="Arial"/>
                <w:color w:val="000000"/>
              </w:rPr>
              <w:lastRenderedPageBreak/>
              <w:t xml:space="preserve">requirement by nature, or as a way of improving performance. </w:t>
            </w:r>
          </w:p>
        </w:tc>
        <w:tc>
          <w:tcPr>
            <w:tcW w:w="189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lastRenderedPageBreak/>
              <w:t xml:space="preserve">More models and simulations of the space elevator tethers will need to be undertaken with a view to obtain an actual understanding of suitable design features that will need to be incorporated into the space elevator, to </w:t>
            </w:r>
            <w:r w:rsidRPr="002242F4">
              <w:rPr>
                <w:rFonts w:ascii="Arial" w:eastAsia="Times New Roman" w:hAnsi="Arial" w:cs="Arial"/>
                <w:color w:val="000000"/>
              </w:rPr>
              <w:lastRenderedPageBreak/>
              <w:t xml:space="preserve">ensure that it is able to cope with disturbances such as space debris. </w:t>
            </w:r>
          </w:p>
        </w:tc>
      </w:tr>
      <w:tr w:rsidR="00D84E44" w:rsidRPr="002242F4" w:rsidTr="002242F4">
        <w:trPr>
          <w:trHeight w:val="3465"/>
        </w:trPr>
        <w:tc>
          <w:tcPr>
            <w:tcW w:w="809" w:type="dxa"/>
            <w:tcBorders>
              <w:top w:val="nil"/>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lastRenderedPageBreak/>
              <w:t>2009</w:t>
            </w:r>
          </w:p>
        </w:tc>
        <w:tc>
          <w:tcPr>
            <w:tcW w:w="118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Austria</w:t>
            </w:r>
          </w:p>
        </w:tc>
        <w:tc>
          <w:tcPr>
            <w:tcW w:w="1841"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Under the assumption that a proper material (carbon nanotubes) is available, making the connection possible technologically, the article seeks to address the question of existence and stability of the radial relative equilibrium of a tapered string on a circular geosynchronous trajectory around the Earth, reaching from the surface of the Earth far beyond the geostationary height.</w:t>
            </w:r>
          </w:p>
        </w:tc>
        <w:tc>
          <w:tcPr>
            <w:tcW w:w="1423"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Research Article</w:t>
            </w:r>
          </w:p>
        </w:tc>
        <w:tc>
          <w:tcPr>
            <w:tcW w:w="231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The article presents the result of the equation which outlines the radial relative equilibrium of a tapered string made from carbon nanotubes moving on a circular geostationary orbit and reaching from the surface of the Earth into space is orbitally unstable.                                   The study also determines that the practically important result that for too soft strings the stabilization of the orbitally unstable relative equilibrium is not possible, because due to the large extension no stable relative equilibrium exists.</w:t>
            </w:r>
          </w:p>
        </w:tc>
        <w:tc>
          <w:tcPr>
            <w:tcW w:w="189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w:t>
            </w:r>
          </w:p>
        </w:tc>
      </w:tr>
      <w:tr w:rsidR="00D84E44" w:rsidRPr="002242F4" w:rsidTr="002242F4">
        <w:trPr>
          <w:trHeight w:val="2520"/>
        </w:trPr>
        <w:tc>
          <w:tcPr>
            <w:tcW w:w="809" w:type="dxa"/>
            <w:tcBorders>
              <w:top w:val="nil"/>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t>2013</w:t>
            </w:r>
          </w:p>
        </w:tc>
        <w:tc>
          <w:tcPr>
            <w:tcW w:w="118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Italy</w:t>
            </w:r>
          </w:p>
        </w:tc>
        <w:tc>
          <w:tcPr>
            <w:tcW w:w="1841"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The article evaluates the strength of a nanotube bundle factoring in two possible failure mechanisms intrinsic fracture and sliding and posposes solutions for safeguarding its strength for the </w:t>
            </w:r>
            <w:r w:rsidRPr="002242F4">
              <w:rPr>
                <w:rFonts w:ascii="Arial" w:eastAsia="Times New Roman" w:hAnsi="Arial" w:cs="Arial"/>
                <w:color w:val="000000"/>
              </w:rPr>
              <w:lastRenderedPageBreak/>
              <w:t xml:space="preserve">space elevator to work. </w:t>
            </w:r>
          </w:p>
        </w:tc>
        <w:tc>
          <w:tcPr>
            <w:tcW w:w="1423"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lastRenderedPageBreak/>
              <w:t>Research Article</w:t>
            </w:r>
          </w:p>
        </w:tc>
        <w:tc>
          <w:tcPr>
            <w:tcW w:w="231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The study determines the need for a  smart strengthening technologies includign flaw tolerant design, and the nanotube self-collapse. The flaw tolerant design limits the required strength, whereas the self-collapse can increase the </w:t>
            </w:r>
            <w:r w:rsidRPr="002242F4">
              <w:rPr>
                <w:rFonts w:ascii="Arial" w:eastAsia="Times New Roman" w:hAnsi="Arial" w:cs="Arial"/>
                <w:color w:val="000000"/>
              </w:rPr>
              <w:lastRenderedPageBreak/>
              <w:t xml:space="preserve">achievable strength. The ultimate desigh of a 35GPa strong tether is proposed, thanks to the analysis of graphene bundles, and previous analysis by the author. </w:t>
            </w:r>
          </w:p>
        </w:tc>
        <w:tc>
          <w:tcPr>
            <w:tcW w:w="189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lastRenderedPageBreak/>
              <w:t xml:space="preserve">Additional studies need to be undertaken on both graphene bundles and composites for the realisation of the most-appropriate materials for use on tethers for use on space elevators. </w:t>
            </w:r>
          </w:p>
        </w:tc>
      </w:tr>
      <w:tr w:rsidR="00D84E44" w:rsidRPr="002242F4" w:rsidTr="002242F4">
        <w:trPr>
          <w:trHeight w:val="1890"/>
        </w:trPr>
        <w:tc>
          <w:tcPr>
            <w:tcW w:w="809" w:type="dxa"/>
            <w:tcBorders>
              <w:top w:val="nil"/>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lastRenderedPageBreak/>
              <w:t>2019</w:t>
            </w:r>
          </w:p>
        </w:tc>
        <w:tc>
          <w:tcPr>
            <w:tcW w:w="118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t>China</w:t>
            </w:r>
          </w:p>
        </w:tc>
        <w:tc>
          <w:tcPr>
            <w:tcW w:w="1841"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The paper analyses the dynamics and optimal stabilisation method of a partial space elevator system with multiple climbers</w:t>
            </w:r>
          </w:p>
        </w:tc>
        <w:tc>
          <w:tcPr>
            <w:tcW w:w="1423"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Research Article</w:t>
            </w:r>
          </w:p>
        </w:tc>
        <w:tc>
          <w:tcPr>
            <w:tcW w:w="231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Different climber moving patterns are found to have a significant impact on the dynamic behaviour of partial space elevators. To address the challenge, optimal control is proposed as a way of developing optimal operation modes to suppress the liberation of PSE with multiple climbers. </w:t>
            </w:r>
          </w:p>
        </w:tc>
        <w:tc>
          <w:tcPr>
            <w:tcW w:w="189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w:t>
            </w:r>
          </w:p>
        </w:tc>
      </w:tr>
      <w:tr w:rsidR="00D84E44" w:rsidRPr="002242F4" w:rsidTr="002242F4">
        <w:trPr>
          <w:trHeight w:val="2565"/>
        </w:trPr>
        <w:tc>
          <w:tcPr>
            <w:tcW w:w="809" w:type="dxa"/>
            <w:tcBorders>
              <w:top w:val="nil"/>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t>2016</w:t>
            </w:r>
          </w:p>
        </w:tc>
        <w:tc>
          <w:tcPr>
            <w:tcW w:w="118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t xml:space="preserve">Japan </w:t>
            </w:r>
          </w:p>
        </w:tc>
        <w:tc>
          <w:tcPr>
            <w:tcW w:w="1841"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The article seeks to verify two basic technologies that would be essential for the success of a space elevator using microsatellites, the tether, deployment technology and the climber operation along the tether in space.</w:t>
            </w:r>
          </w:p>
        </w:tc>
        <w:tc>
          <w:tcPr>
            <w:tcW w:w="1423"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Research Article</w:t>
            </w:r>
          </w:p>
        </w:tc>
        <w:tc>
          <w:tcPr>
            <w:tcW w:w="231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The article presents the current progress in the development of two microsatellites to verify two basic technologies of the space elevator, in addition to obtaining data towards an improved future design.                               The STARS-C microsatellite is used to verify the tether(cable) deployment technology, while the STARS-E is used to verify the operation of the climber along a tether in space. </w:t>
            </w:r>
          </w:p>
        </w:tc>
        <w:tc>
          <w:tcPr>
            <w:tcW w:w="189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w:t>
            </w:r>
          </w:p>
        </w:tc>
      </w:tr>
      <w:tr w:rsidR="00D84E44" w:rsidRPr="002242F4" w:rsidTr="002242F4">
        <w:trPr>
          <w:trHeight w:val="4410"/>
        </w:trPr>
        <w:tc>
          <w:tcPr>
            <w:tcW w:w="809" w:type="dxa"/>
            <w:tcBorders>
              <w:top w:val="nil"/>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lastRenderedPageBreak/>
              <w:t>2019</w:t>
            </w:r>
          </w:p>
        </w:tc>
        <w:tc>
          <w:tcPr>
            <w:tcW w:w="118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t>Canada</w:t>
            </w:r>
          </w:p>
        </w:tc>
        <w:tc>
          <w:tcPr>
            <w:tcW w:w="1841"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The paper develops a high-fidelity and</w:t>
            </w:r>
            <w:r w:rsidRPr="002242F4">
              <w:rPr>
                <w:rFonts w:ascii="Arial" w:eastAsia="Times New Roman" w:hAnsi="Arial" w:cs="Arial"/>
                <w:color w:val="000000"/>
              </w:rPr>
              <w:br/>
              <w:t>high-accuracy dynamic model to The  investigate libration suppression of partial space elevator caused by a moving climber through tether deployment and/or retrieval</w:t>
            </w:r>
            <w:r w:rsidRPr="002242F4">
              <w:rPr>
                <w:rFonts w:ascii="Arial" w:eastAsia="Times New Roman" w:hAnsi="Arial" w:cs="Arial"/>
                <w:color w:val="000000"/>
              </w:rPr>
              <w:br/>
              <w:t>at main and subsatellites.</w:t>
            </w:r>
          </w:p>
        </w:tc>
        <w:tc>
          <w:tcPr>
            <w:tcW w:w="1423"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Research Article</w:t>
            </w:r>
          </w:p>
        </w:tc>
        <w:tc>
          <w:tcPr>
            <w:tcW w:w="231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A high-fidelity and high-accuracy model of Partial</w:t>
            </w:r>
            <w:r w:rsidRPr="002242F4">
              <w:rPr>
                <w:rFonts w:ascii="Arial" w:eastAsia="Times New Roman" w:hAnsi="Arial" w:cs="Arial"/>
                <w:color w:val="000000"/>
              </w:rPr>
              <w:br/>
              <w:t>Space Elevator is developed based on the nodal position finite element method using the arbitrary Lagrangian–Eulerian description.                                             The variable-length approach is used to describe the movement of climber along the tether and the deployment and/or retrieval of tether at the end satellites (main satellite and/or subsatellite).                                                   The proposed approach reveals the slack–taut phenomenon of tether happens as the climber starts to</w:t>
            </w:r>
            <w:r w:rsidRPr="002242F4">
              <w:rPr>
                <w:rFonts w:ascii="Arial" w:eastAsia="Times New Roman" w:hAnsi="Arial" w:cs="Arial"/>
                <w:color w:val="000000"/>
              </w:rPr>
              <w:br/>
              <w:t>move, which is not shown in the rigid tether model.    Therefore, for the safety operation of PSE, the trajectories of climber should be optimized to avoid the</w:t>
            </w:r>
            <w:r w:rsidRPr="002242F4">
              <w:rPr>
                <w:rFonts w:ascii="Arial" w:eastAsia="Times New Roman" w:hAnsi="Arial" w:cs="Arial"/>
                <w:color w:val="000000"/>
              </w:rPr>
              <w:br/>
              <w:t xml:space="preserve">tether slack–taut happening. </w:t>
            </w:r>
          </w:p>
        </w:tc>
        <w:tc>
          <w:tcPr>
            <w:tcW w:w="189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w:t>
            </w:r>
          </w:p>
        </w:tc>
      </w:tr>
      <w:tr w:rsidR="00D84E44" w:rsidRPr="002242F4" w:rsidTr="002242F4">
        <w:trPr>
          <w:trHeight w:val="3780"/>
        </w:trPr>
        <w:tc>
          <w:tcPr>
            <w:tcW w:w="809" w:type="dxa"/>
            <w:tcBorders>
              <w:top w:val="nil"/>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lastRenderedPageBreak/>
              <w:t>2014</w:t>
            </w:r>
          </w:p>
        </w:tc>
        <w:tc>
          <w:tcPr>
            <w:tcW w:w="118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t>USA</w:t>
            </w:r>
          </w:p>
        </w:tc>
        <w:tc>
          <w:tcPr>
            <w:tcW w:w="1841"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The article explores classical and statistical mechanics of a novel dynamic system - the rotating space elevator. </w:t>
            </w:r>
          </w:p>
        </w:tc>
        <w:tc>
          <w:tcPr>
            <w:tcW w:w="1423"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Research Article</w:t>
            </w:r>
          </w:p>
        </w:tc>
        <w:tc>
          <w:tcPr>
            <w:tcW w:w="231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The study explores the classical and statistical mechanics of rotating space elevators (RSE) which are double rotating</w:t>
            </w:r>
            <w:r w:rsidRPr="002242F4">
              <w:rPr>
                <w:rFonts w:ascii="Arial" w:eastAsia="Times New Roman" w:hAnsi="Arial" w:cs="Arial"/>
                <w:color w:val="000000"/>
              </w:rPr>
              <w:br/>
              <w:t>floppy strings reaching outer space.                                               The main feature of the RSEs is that the objects sliding along the RSE string (sliding climbers) do not require internal engines or propulsion to be transported from the Earth’s surface to extraterrestrial locations.                                                                                              The developed RSE concept thus solves a major problem in space elevator science which is how to supply energy to</w:t>
            </w:r>
            <w:r w:rsidRPr="002242F4">
              <w:rPr>
                <w:rFonts w:ascii="Arial" w:eastAsia="Times New Roman" w:hAnsi="Arial" w:cs="Arial"/>
                <w:color w:val="000000"/>
              </w:rPr>
              <w:br/>
              <w:t>the climbers moving along space elevator strings.</w:t>
            </w:r>
          </w:p>
        </w:tc>
        <w:tc>
          <w:tcPr>
            <w:tcW w:w="189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Based on the special design developed, the RSE depicts persistent shape and enduring double rotating motion. That said, under certain conditions, the RSE could undergo a morphological transition to a chaotic state reminiscent of fluctuating directed polymers encountered in the statistical physics of strings and membranes. Future studies could thus address this shift to a chaotic state. </w:t>
            </w:r>
          </w:p>
        </w:tc>
      </w:tr>
      <w:tr w:rsidR="00D84E44" w:rsidRPr="002242F4" w:rsidTr="002242F4">
        <w:trPr>
          <w:trHeight w:val="3150"/>
        </w:trPr>
        <w:tc>
          <w:tcPr>
            <w:tcW w:w="809" w:type="dxa"/>
            <w:tcBorders>
              <w:top w:val="nil"/>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t>2016</w:t>
            </w:r>
          </w:p>
        </w:tc>
        <w:tc>
          <w:tcPr>
            <w:tcW w:w="118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t>USA</w:t>
            </w:r>
          </w:p>
        </w:tc>
        <w:tc>
          <w:tcPr>
            <w:tcW w:w="1841"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The paper considers the general theoretical problem of how to model the dynamics of objects sliding</w:t>
            </w:r>
            <w:r w:rsidRPr="002242F4">
              <w:rPr>
                <w:rFonts w:ascii="Arial" w:eastAsia="Times New Roman" w:hAnsi="Arial" w:cs="Arial"/>
                <w:color w:val="000000"/>
              </w:rPr>
              <w:br/>
              <w:t>on moving strings. This study answers the question of; what is the general</w:t>
            </w:r>
            <w:r w:rsidRPr="002242F4">
              <w:rPr>
                <w:rFonts w:ascii="Arial" w:eastAsia="Times New Roman" w:hAnsi="Arial" w:cs="Arial"/>
                <w:color w:val="000000"/>
              </w:rPr>
              <w:br/>
              <w:t xml:space="preserve">form of the equations governing string motion in the presence of objects sliding </w:t>
            </w:r>
            <w:r w:rsidRPr="002242F4">
              <w:rPr>
                <w:rFonts w:ascii="Arial" w:eastAsia="Times New Roman" w:hAnsi="Arial" w:cs="Arial"/>
                <w:color w:val="000000"/>
              </w:rPr>
              <w:lastRenderedPageBreak/>
              <w:t>along discretized strings?</w:t>
            </w:r>
          </w:p>
        </w:tc>
        <w:tc>
          <w:tcPr>
            <w:tcW w:w="142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lastRenderedPageBreak/>
              <w:t>Research Article</w:t>
            </w:r>
          </w:p>
        </w:tc>
        <w:tc>
          <w:tcPr>
            <w:tcW w:w="231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The study describes in detail a subtle yet powerful algorithm that can be used to investigate motion of objects</w:t>
            </w:r>
            <w:r w:rsidRPr="002242F4">
              <w:rPr>
                <w:rFonts w:ascii="Arial" w:eastAsia="Times New Roman" w:hAnsi="Arial" w:cs="Arial"/>
                <w:color w:val="000000"/>
              </w:rPr>
              <w:br/>
              <w:t>sliding along floppy strings. The algorithm was motivated by the fundamental physics of sliding climbers</w:t>
            </w:r>
            <w:r w:rsidRPr="002242F4">
              <w:rPr>
                <w:rFonts w:ascii="Arial" w:eastAsia="Times New Roman" w:hAnsi="Arial" w:cs="Arial"/>
                <w:color w:val="000000"/>
              </w:rPr>
              <w:br/>
              <w:t>on a unique class of dynamical systems, rotating space elevators.</w:t>
            </w:r>
          </w:p>
        </w:tc>
        <w:tc>
          <w:tcPr>
            <w:tcW w:w="189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w:t>
            </w:r>
          </w:p>
        </w:tc>
      </w:tr>
      <w:tr w:rsidR="00D84E44" w:rsidRPr="002242F4" w:rsidTr="002242F4">
        <w:trPr>
          <w:trHeight w:val="1575"/>
        </w:trPr>
        <w:tc>
          <w:tcPr>
            <w:tcW w:w="809" w:type="dxa"/>
            <w:tcBorders>
              <w:top w:val="nil"/>
              <w:left w:val="single" w:sz="4" w:space="0" w:color="auto"/>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lastRenderedPageBreak/>
              <w:t>2006</w:t>
            </w:r>
          </w:p>
        </w:tc>
        <w:tc>
          <w:tcPr>
            <w:tcW w:w="1183" w:type="dxa"/>
            <w:tcBorders>
              <w:top w:val="nil"/>
              <w:left w:val="nil"/>
              <w:bottom w:val="single" w:sz="4" w:space="0" w:color="auto"/>
              <w:right w:val="single" w:sz="4" w:space="0" w:color="auto"/>
            </w:tcBorders>
            <w:shd w:val="clear" w:color="auto" w:fill="auto"/>
            <w:noWrap/>
            <w:hideMark/>
          </w:tcPr>
          <w:p w:rsidR="00D84E44" w:rsidRPr="002242F4" w:rsidRDefault="00D84E44" w:rsidP="00E73E03">
            <w:pPr>
              <w:spacing w:after="0" w:line="240" w:lineRule="auto"/>
              <w:jc w:val="center"/>
              <w:rPr>
                <w:rFonts w:ascii="Arial" w:eastAsia="Times New Roman" w:hAnsi="Arial" w:cs="Arial"/>
                <w:color w:val="000000"/>
              </w:rPr>
            </w:pPr>
            <w:r w:rsidRPr="002242F4">
              <w:rPr>
                <w:rFonts w:ascii="Arial" w:eastAsia="Times New Roman" w:hAnsi="Arial" w:cs="Arial"/>
                <w:color w:val="000000"/>
              </w:rPr>
              <w:t>USA</w:t>
            </w:r>
          </w:p>
        </w:tc>
        <w:tc>
          <w:tcPr>
            <w:tcW w:w="1841"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The article details the physics of a space elevator considering the basic mechanical principles that underpin its construction, as well as its principle applications.</w:t>
            </w:r>
          </w:p>
        </w:tc>
        <w:tc>
          <w:tcPr>
            <w:tcW w:w="1423"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Research Article</w:t>
            </w:r>
          </w:p>
        </w:tc>
        <w:tc>
          <w:tcPr>
            <w:tcW w:w="231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 xml:space="preserve">The study conveys an understanding of the basic features of a space elevator, as well as some of its applications including the transfer of payloads to space, as well as the launching of spacecrafts for voyages to other planets. </w:t>
            </w:r>
          </w:p>
        </w:tc>
        <w:tc>
          <w:tcPr>
            <w:tcW w:w="1894" w:type="dxa"/>
            <w:tcBorders>
              <w:top w:val="nil"/>
              <w:left w:val="nil"/>
              <w:bottom w:val="single" w:sz="4" w:space="0" w:color="auto"/>
              <w:right w:val="single" w:sz="4" w:space="0" w:color="auto"/>
            </w:tcBorders>
            <w:shd w:val="clear" w:color="auto" w:fill="auto"/>
            <w:hideMark/>
          </w:tcPr>
          <w:p w:rsidR="00D84E44" w:rsidRPr="002242F4" w:rsidRDefault="00D84E44" w:rsidP="00E73E03">
            <w:pPr>
              <w:spacing w:after="0" w:line="240" w:lineRule="auto"/>
              <w:rPr>
                <w:rFonts w:ascii="Arial" w:eastAsia="Times New Roman" w:hAnsi="Arial" w:cs="Arial"/>
                <w:color w:val="000000"/>
              </w:rPr>
            </w:pPr>
            <w:r w:rsidRPr="002242F4">
              <w:rPr>
                <w:rFonts w:ascii="Arial" w:eastAsia="Times New Roman" w:hAnsi="Arial" w:cs="Arial"/>
                <w:color w:val="000000"/>
              </w:rPr>
              <w:t>Thorough analysis of the space elevator would need to address the multiple threats it would face in space, and how they would be addressed.</w:t>
            </w:r>
          </w:p>
        </w:tc>
      </w:tr>
    </w:tbl>
    <w:p w:rsidR="00D84E44" w:rsidRPr="002242F4" w:rsidRDefault="00D84E44">
      <w:pPr>
        <w:rPr>
          <w:rFonts w:ascii="Arial" w:hAnsi="Arial" w:cs="Arial"/>
        </w:rPr>
      </w:pPr>
    </w:p>
    <w:p w:rsidR="00724853" w:rsidRPr="002242F4" w:rsidRDefault="00724853">
      <w:pPr>
        <w:rPr>
          <w:rFonts w:ascii="Arial" w:hAnsi="Arial" w:cs="Arial"/>
        </w:rPr>
      </w:pPr>
    </w:p>
    <w:tbl>
      <w:tblPr>
        <w:tblW w:w="3331" w:type="dxa"/>
        <w:jc w:val="center"/>
        <w:tblLook w:val="04A0"/>
      </w:tblPr>
      <w:tblGrid>
        <w:gridCol w:w="1718"/>
        <w:gridCol w:w="1613"/>
      </w:tblGrid>
      <w:tr w:rsidR="00724853" w:rsidRPr="00724853" w:rsidTr="00724853">
        <w:trPr>
          <w:trHeight w:val="300"/>
          <w:jc w:val="center"/>
        </w:trPr>
        <w:tc>
          <w:tcPr>
            <w:tcW w:w="1718"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rPr>
                <w:rFonts w:ascii="Arial" w:eastAsia="Times New Roman" w:hAnsi="Arial" w:cs="Arial"/>
                <w:b/>
                <w:bCs/>
                <w:color w:val="000000"/>
              </w:rPr>
            </w:pPr>
            <w:r w:rsidRPr="00724853">
              <w:rPr>
                <w:rFonts w:ascii="Arial" w:eastAsia="Times New Roman" w:hAnsi="Arial" w:cs="Arial"/>
                <w:b/>
                <w:bCs/>
                <w:color w:val="000000"/>
              </w:rPr>
              <w:t xml:space="preserve">Country </w:t>
            </w:r>
          </w:p>
        </w:tc>
        <w:tc>
          <w:tcPr>
            <w:tcW w:w="1613"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rPr>
                <w:rFonts w:ascii="Arial" w:eastAsia="Times New Roman" w:hAnsi="Arial" w:cs="Arial"/>
                <w:b/>
                <w:bCs/>
                <w:color w:val="000000"/>
              </w:rPr>
            </w:pPr>
            <w:r w:rsidRPr="00724853">
              <w:rPr>
                <w:rFonts w:ascii="Arial" w:eastAsia="Times New Roman" w:hAnsi="Arial" w:cs="Arial"/>
                <w:b/>
                <w:bCs/>
                <w:color w:val="000000"/>
              </w:rPr>
              <w:t xml:space="preserve">No of Articles </w:t>
            </w:r>
          </w:p>
        </w:tc>
      </w:tr>
      <w:tr w:rsidR="00724853" w:rsidRPr="00724853" w:rsidTr="00724853">
        <w:trPr>
          <w:trHeight w:val="300"/>
          <w:jc w:val="center"/>
        </w:trPr>
        <w:tc>
          <w:tcPr>
            <w:tcW w:w="1718"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rPr>
                <w:rFonts w:ascii="Arial" w:eastAsia="Times New Roman" w:hAnsi="Arial" w:cs="Arial"/>
                <w:color w:val="000000"/>
              </w:rPr>
            </w:pPr>
            <w:r w:rsidRPr="00724853">
              <w:rPr>
                <w:rFonts w:ascii="Arial" w:eastAsia="Times New Roman" w:hAnsi="Arial" w:cs="Arial"/>
                <w:color w:val="000000"/>
              </w:rPr>
              <w:t xml:space="preserve">China </w:t>
            </w:r>
          </w:p>
        </w:tc>
        <w:tc>
          <w:tcPr>
            <w:tcW w:w="1613"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jc w:val="right"/>
              <w:rPr>
                <w:rFonts w:ascii="Arial" w:eastAsia="Times New Roman" w:hAnsi="Arial" w:cs="Arial"/>
                <w:color w:val="000000"/>
              </w:rPr>
            </w:pPr>
            <w:r w:rsidRPr="00724853">
              <w:rPr>
                <w:rFonts w:ascii="Arial" w:eastAsia="Times New Roman" w:hAnsi="Arial" w:cs="Arial"/>
                <w:color w:val="000000"/>
              </w:rPr>
              <w:t>1</w:t>
            </w:r>
          </w:p>
        </w:tc>
      </w:tr>
      <w:tr w:rsidR="00724853" w:rsidRPr="00724853" w:rsidTr="00724853">
        <w:trPr>
          <w:trHeight w:val="300"/>
          <w:jc w:val="center"/>
        </w:trPr>
        <w:tc>
          <w:tcPr>
            <w:tcW w:w="1718"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rPr>
                <w:rFonts w:ascii="Arial" w:eastAsia="Times New Roman" w:hAnsi="Arial" w:cs="Arial"/>
                <w:color w:val="000000"/>
              </w:rPr>
            </w:pPr>
            <w:r w:rsidRPr="00724853">
              <w:rPr>
                <w:rFonts w:ascii="Arial" w:eastAsia="Times New Roman" w:hAnsi="Arial" w:cs="Arial"/>
                <w:color w:val="000000"/>
              </w:rPr>
              <w:t xml:space="preserve">Japan </w:t>
            </w:r>
          </w:p>
        </w:tc>
        <w:tc>
          <w:tcPr>
            <w:tcW w:w="1613"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jc w:val="right"/>
              <w:rPr>
                <w:rFonts w:ascii="Arial" w:eastAsia="Times New Roman" w:hAnsi="Arial" w:cs="Arial"/>
                <w:color w:val="000000"/>
              </w:rPr>
            </w:pPr>
            <w:r w:rsidRPr="00724853">
              <w:rPr>
                <w:rFonts w:ascii="Arial" w:eastAsia="Times New Roman" w:hAnsi="Arial" w:cs="Arial"/>
                <w:color w:val="000000"/>
              </w:rPr>
              <w:t>1</w:t>
            </w:r>
          </w:p>
        </w:tc>
      </w:tr>
      <w:tr w:rsidR="00724853" w:rsidRPr="00724853" w:rsidTr="00724853">
        <w:trPr>
          <w:trHeight w:val="300"/>
          <w:jc w:val="center"/>
        </w:trPr>
        <w:tc>
          <w:tcPr>
            <w:tcW w:w="1718"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rPr>
                <w:rFonts w:ascii="Arial" w:eastAsia="Times New Roman" w:hAnsi="Arial" w:cs="Arial"/>
                <w:color w:val="000000"/>
              </w:rPr>
            </w:pPr>
            <w:r w:rsidRPr="00724853">
              <w:rPr>
                <w:rFonts w:ascii="Arial" w:eastAsia="Times New Roman" w:hAnsi="Arial" w:cs="Arial"/>
                <w:color w:val="000000"/>
              </w:rPr>
              <w:t>Canada</w:t>
            </w:r>
          </w:p>
        </w:tc>
        <w:tc>
          <w:tcPr>
            <w:tcW w:w="1613"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jc w:val="right"/>
              <w:rPr>
                <w:rFonts w:ascii="Arial" w:eastAsia="Times New Roman" w:hAnsi="Arial" w:cs="Arial"/>
                <w:color w:val="000000"/>
              </w:rPr>
            </w:pPr>
            <w:r w:rsidRPr="00724853">
              <w:rPr>
                <w:rFonts w:ascii="Arial" w:eastAsia="Times New Roman" w:hAnsi="Arial" w:cs="Arial"/>
                <w:color w:val="000000"/>
              </w:rPr>
              <w:t>1</w:t>
            </w:r>
          </w:p>
        </w:tc>
      </w:tr>
      <w:tr w:rsidR="00724853" w:rsidRPr="00724853" w:rsidTr="00724853">
        <w:trPr>
          <w:trHeight w:val="300"/>
          <w:jc w:val="center"/>
        </w:trPr>
        <w:tc>
          <w:tcPr>
            <w:tcW w:w="1718"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rPr>
                <w:rFonts w:ascii="Arial" w:eastAsia="Times New Roman" w:hAnsi="Arial" w:cs="Arial"/>
                <w:color w:val="000000"/>
              </w:rPr>
            </w:pPr>
            <w:r w:rsidRPr="00724853">
              <w:rPr>
                <w:rFonts w:ascii="Arial" w:eastAsia="Times New Roman" w:hAnsi="Arial" w:cs="Arial"/>
                <w:color w:val="000000"/>
              </w:rPr>
              <w:t xml:space="preserve">Czech Republic </w:t>
            </w:r>
          </w:p>
        </w:tc>
        <w:tc>
          <w:tcPr>
            <w:tcW w:w="1613"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jc w:val="right"/>
              <w:rPr>
                <w:rFonts w:ascii="Arial" w:eastAsia="Times New Roman" w:hAnsi="Arial" w:cs="Arial"/>
                <w:color w:val="000000"/>
              </w:rPr>
            </w:pPr>
            <w:r w:rsidRPr="00724853">
              <w:rPr>
                <w:rFonts w:ascii="Arial" w:eastAsia="Times New Roman" w:hAnsi="Arial" w:cs="Arial"/>
                <w:color w:val="000000"/>
              </w:rPr>
              <w:t>1</w:t>
            </w:r>
          </w:p>
        </w:tc>
      </w:tr>
      <w:tr w:rsidR="00724853" w:rsidRPr="00724853" w:rsidTr="00724853">
        <w:trPr>
          <w:trHeight w:val="300"/>
          <w:jc w:val="center"/>
        </w:trPr>
        <w:tc>
          <w:tcPr>
            <w:tcW w:w="1718"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rPr>
                <w:rFonts w:ascii="Arial" w:eastAsia="Times New Roman" w:hAnsi="Arial" w:cs="Arial"/>
                <w:color w:val="000000"/>
              </w:rPr>
            </w:pPr>
            <w:r w:rsidRPr="00724853">
              <w:rPr>
                <w:rFonts w:ascii="Arial" w:eastAsia="Times New Roman" w:hAnsi="Arial" w:cs="Arial"/>
                <w:color w:val="000000"/>
              </w:rPr>
              <w:t xml:space="preserve">Italy </w:t>
            </w:r>
          </w:p>
        </w:tc>
        <w:tc>
          <w:tcPr>
            <w:tcW w:w="1613"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jc w:val="right"/>
              <w:rPr>
                <w:rFonts w:ascii="Arial" w:eastAsia="Times New Roman" w:hAnsi="Arial" w:cs="Arial"/>
                <w:color w:val="000000"/>
              </w:rPr>
            </w:pPr>
            <w:r w:rsidRPr="00724853">
              <w:rPr>
                <w:rFonts w:ascii="Arial" w:eastAsia="Times New Roman" w:hAnsi="Arial" w:cs="Arial"/>
                <w:color w:val="000000"/>
              </w:rPr>
              <w:t>1</w:t>
            </w:r>
          </w:p>
        </w:tc>
      </w:tr>
      <w:tr w:rsidR="00724853" w:rsidRPr="00724853" w:rsidTr="00724853">
        <w:trPr>
          <w:trHeight w:val="300"/>
          <w:jc w:val="center"/>
        </w:trPr>
        <w:tc>
          <w:tcPr>
            <w:tcW w:w="1718"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rPr>
                <w:rFonts w:ascii="Arial" w:eastAsia="Times New Roman" w:hAnsi="Arial" w:cs="Arial"/>
                <w:color w:val="000000"/>
              </w:rPr>
            </w:pPr>
            <w:r w:rsidRPr="00724853">
              <w:rPr>
                <w:rFonts w:ascii="Arial" w:eastAsia="Times New Roman" w:hAnsi="Arial" w:cs="Arial"/>
                <w:color w:val="000000"/>
              </w:rPr>
              <w:t>Austria</w:t>
            </w:r>
          </w:p>
        </w:tc>
        <w:tc>
          <w:tcPr>
            <w:tcW w:w="1613"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jc w:val="right"/>
              <w:rPr>
                <w:rFonts w:ascii="Arial" w:eastAsia="Times New Roman" w:hAnsi="Arial" w:cs="Arial"/>
                <w:color w:val="000000"/>
              </w:rPr>
            </w:pPr>
            <w:r w:rsidRPr="00724853">
              <w:rPr>
                <w:rFonts w:ascii="Arial" w:eastAsia="Times New Roman" w:hAnsi="Arial" w:cs="Arial"/>
                <w:color w:val="000000"/>
              </w:rPr>
              <w:t>1</w:t>
            </w:r>
          </w:p>
        </w:tc>
      </w:tr>
      <w:tr w:rsidR="00724853" w:rsidRPr="00724853" w:rsidTr="00724853">
        <w:trPr>
          <w:trHeight w:val="300"/>
          <w:jc w:val="center"/>
        </w:trPr>
        <w:tc>
          <w:tcPr>
            <w:tcW w:w="1718"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rPr>
                <w:rFonts w:ascii="Arial" w:eastAsia="Times New Roman" w:hAnsi="Arial" w:cs="Arial"/>
                <w:color w:val="000000"/>
              </w:rPr>
            </w:pPr>
            <w:r w:rsidRPr="00724853">
              <w:rPr>
                <w:rFonts w:ascii="Arial" w:eastAsia="Times New Roman" w:hAnsi="Arial" w:cs="Arial"/>
                <w:color w:val="000000"/>
              </w:rPr>
              <w:t xml:space="preserve">Turkey </w:t>
            </w:r>
          </w:p>
        </w:tc>
        <w:tc>
          <w:tcPr>
            <w:tcW w:w="1613"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jc w:val="right"/>
              <w:rPr>
                <w:rFonts w:ascii="Arial" w:eastAsia="Times New Roman" w:hAnsi="Arial" w:cs="Arial"/>
                <w:color w:val="000000"/>
              </w:rPr>
            </w:pPr>
            <w:r w:rsidRPr="00724853">
              <w:rPr>
                <w:rFonts w:ascii="Arial" w:eastAsia="Times New Roman" w:hAnsi="Arial" w:cs="Arial"/>
                <w:color w:val="000000"/>
              </w:rPr>
              <w:t>1</w:t>
            </w:r>
          </w:p>
        </w:tc>
      </w:tr>
      <w:tr w:rsidR="00724853" w:rsidRPr="00724853" w:rsidTr="00724853">
        <w:trPr>
          <w:trHeight w:val="300"/>
          <w:jc w:val="center"/>
        </w:trPr>
        <w:tc>
          <w:tcPr>
            <w:tcW w:w="1718"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rPr>
                <w:rFonts w:ascii="Arial" w:eastAsia="Times New Roman" w:hAnsi="Arial" w:cs="Arial"/>
                <w:color w:val="000000"/>
              </w:rPr>
            </w:pPr>
            <w:r w:rsidRPr="00724853">
              <w:rPr>
                <w:rFonts w:ascii="Arial" w:eastAsia="Times New Roman" w:hAnsi="Arial" w:cs="Arial"/>
                <w:color w:val="000000"/>
              </w:rPr>
              <w:t>USA</w:t>
            </w:r>
          </w:p>
        </w:tc>
        <w:tc>
          <w:tcPr>
            <w:tcW w:w="1613"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jc w:val="right"/>
              <w:rPr>
                <w:rFonts w:ascii="Arial" w:eastAsia="Times New Roman" w:hAnsi="Arial" w:cs="Arial"/>
                <w:color w:val="000000"/>
              </w:rPr>
            </w:pPr>
            <w:r w:rsidRPr="00724853">
              <w:rPr>
                <w:rFonts w:ascii="Arial" w:eastAsia="Times New Roman" w:hAnsi="Arial" w:cs="Arial"/>
                <w:color w:val="000000"/>
              </w:rPr>
              <w:t>8</w:t>
            </w:r>
          </w:p>
        </w:tc>
      </w:tr>
      <w:tr w:rsidR="00724853" w:rsidRPr="00724853" w:rsidTr="00724853">
        <w:trPr>
          <w:trHeight w:val="300"/>
          <w:jc w:val="center"/>
        </w:trPr>
        <w:tc>
          <w:tcPr>
            <w:tcW w:w="1718"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jc w:val="right"/>
              <w:rPr>
                <w:rFonts w:ascii="Arial" w:eastAsia="Times New Roman" w:hAnsi="Arial" w:cs="Arial"/>
                <w:color w:val="000000"/>
              </w:rPr>
            </w:pPr>
          </w:p>
        </w:tc>
        <w:tc>
          <w:tcPr>
            <w:tcW w:w="1613" w:type="dxa"/>
            <w:tcBorders>
              <w:top w:val="nil"/>
              <w:left w:val="nil"/>
              <w:bottom w:val="nil"/>
              <w:right w:val="nil"/>
            </w:tcBorders>
            <w:shd w:val="clear" w:color="auto" w:fill="auto"/>
            <w:noWrap/>
            <w:vAlign w:val="bottom"/>
            <w:hideMark/>
          </w:tcPr>
          <w:p w:rsidR="00724853" w:rsidRPr="00724853" w:rsidRDefault="00724853" w:rsidP="00724853">
            <w:pPr>
              <w:spacing w:after="0" w:line="240" w:lineRule="auto"/>
              <w:jc w:val="right"/>
              <w:rPr>
                <w:rFonts w:ascii="Arial" w:eastAsia="Times New Roman" w:hAnsi="Arial" w:cs="Arial"/>
                <w:b/>
                <w:bCs/>
                <w:color w:val="000000"/>
              </w:rPr>
            </w:pPr>
            <w:r w:rsidRPr="00724853">
              <w:rPr>
                <w:rFonts w:ascii="Arial" w:eastAsia="Times New Roman" w:hAnsi="Arial" w:cs="Arial"/>
                <w:b/>
                <w:bCs/>
                <w:color w:val="000000"/>
              </w:rPr>
              <w:t>15</w:t>
            </w:r>
          </w:p>
        </w:tc>
      </w:tr>
    </w:tbl>
    <w:p w:rsidR="00724853" w:rsidRPr="002242F4" w:rsidRDefault="00724853">
      <w:pPr>
        <w:rPr>
          <w:rFonts w:ascii="Arial" w:hAnsi="Arial" w:cs="Arial"/>
        </w:rPr>
      </w:pPr>
    </w:p>
    <w:p w:rsidR="00D84E44" w:rsidRPr="002242F4" w:rsidRDefault="00D84E44">
      <w:pPr>
        <w:rPr>
          <w:rFonts w:ascii="Arial" w:hAnsi="Arial" w:cs="Arial"/>
        </w:rPr>
      </w:pPr>
    </w:p>
    <w:p w:rsidR="00D84E44" w:rsidRPr="002242F4" w:rsidRDefault="00D84E44">
      <w:pPr>
        <w:rPr>
          <w:rFonts w:ascii="Arial" w:hAnsi="Arial" w:cs="Arial"/>
        </w:rPr>
      </w:pPr>
      <w:r w:rsidRPr="002242F4">
        <w:rPr>
          <w:rFonts w:ascii="Arial" w:hAnsi="Arial" w:cs="Arial"/>
          <w:noProof/>
        </w:rPr>
        <w:lastRenderedPageBreak/>
        <w:drawing>
          <wp:inline distT="0" distB="0" distL="0" distR="0">
            <wp:extent cx="4572000" cy="2743200"/>
            <wp:effectExtent l="0" t="0" r="0" b="0"/>
            <wp:docPr id="1" name="Chart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sectPr w:rsidR="00D84E44" w:rsidRPr="002242F4" w:rsidSect="00D84E4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2FB0" w:rsidRDefault="00422FB0" w:rsidP="00D84E44">
      <w:pPr>
        <w:spacing w:after="0" w:line="240" w:lineRule="auto"/>
      </w:pPr>
      <w:r>
        <w:separator/>
      </w:r>
    </w:p>
  </w:endnote>
  <w:endnote w:type="continuationSeparator" w:id="1">
    <w:p w:rsidR="00422FB0" w:rsidRDefault="00422FB0" w:rsidP="00D84E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2FB0" w:rsidRDefault="00422FB0" w:rsidP="00D84E44">
      <w:pPr>
        <w:spacing w:after="0" w:line="240" w:lineRule="auto"/>
      </w:pPr>
      <w:r>
        <w:separator/>
      </w:r>
    </w:p>
  </w:footnote>
  <w:footnote w:type="continuationSeparator" w:id="1">
    <w:p w:rsidR="00422FB0" w:rsidRDefault="00422FB0" w:rsidP="00D84E4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84E44"/>
    <w:rsid w:val="002242F4"/>
    <w:rsid w:val="00286F00"/>
    <w:rsid w:val="00422FB0"/>
    <w:rsid w:val="00431C7A"/>
    <w:rsid w:val="00724853"/>
    <w:rsid w:val="00925D8B"/>
    <w:rsid w:val="00D20998"/>
    <w:rsid w:val="00D84E44"/>
    <w:rsid w:val="00E5740E"/>
    <w:rsid w:val="00FF34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D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4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84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E44"/>
  </w:style>
  <w:style w:type="paragraph" w:styleId="Footer">
    <w:name w:val="footer"/>
    <w:basedOn w:val="Normal"/>
    <w:link w:val="FooterChar"/>
    <w:uiPriority w:val="99"/>
    <w:unhideWhenUsed/>
    <w:rsid w:val="00D84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E44"/>
  </w:style>
  <w:style w:type="paragraph" w:styleId="BalloonText">
    <w:name w:val="Balloon Text"/>
    <w:basedOn w:val="Normal"/>
    <w:link w:val="BalloonTextChar"/>
    <w:uiPriority w:val="99"/>
    <w:semiHidden/>
    <w:unhideWhenUsed/>
    <w:rsid w:val="00431C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C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4069239">
      <w:bodyDiv w:val="1"/>
      <w:marLeft w:val="0"/>
      <w:marRight w:val="0"/>
      <w:marTop w:val="0"/>
      <w:marBottom w:val="0"/>
      <w:divBdr>
        <w:top w:val="none" w:sz="0" w:space="0" w:color="auto"/>
        <w:left w:val="none" w:sz="0" w:space="0" w:color="auto"/>
        <w:bottom w:val="none" w:sz="0" w:space="0" w:color="auto"/>
        <w:right w:val="none" w:sz="0" w:space="0" w:color="auto"/>
      </w:divBdr>
    </w:div>
    <w:div w:id="505369622">
      <w:bodyDiv w:val="1"/>
      <w:marLeft w:val="0"/>
      <w:marRight w:val="0"/>
      <w:marTop w:val="0"/>
      <w:marBottom w:val="0"/>
      <w:divBdr>
        <w:top w:val="none" w:sz="0" w:space="0" w:color="auto"/>
        <w:left w:val="none" w:sz="0" w:space="0" w:color="auto"/>
        <w:bottom w:val="none" w:sz="0" w:space="0" w:color="auto"/>
        <w:right w:val="none" w:sz="0" w:space="0" w:color="auto"/>
      </w:divBdr>
    </w:div>
    <w:div w:id="1460150766">
      <w:bodyDiv w:val="1"/>
      <w:marLeft w:val="0"/>
      <w:marRight w:val="0"/>
      <w:marTop w:val="0"/>
      <w:marBottom w:val="0"/>
      <w:divBdr>
        <w:top w:val="none" w:sz="0" w:space="0" w:color="auto"/>
        <w:left w:val="none" w:sz="0" w:space="0" w:color="auto"/>
        <w:bottom w:val="none" w:sz="0" w:space="0" w:color="auto"/>
        <w:right w:val="none" w:sz="0" w:space="0" w:color="auto"/>
      </w:divBdr>
    </w:div>
    <w:div w:id="204304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omminah\Downloads\Copy%20of%20Scoping%20Review%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lang="en-GB" sz="1600" b="1" i="0" u="none" strike="noStrike" kern="1200" baseline="0">
                <a:solidFill>
                  <a:schemeClr val="tx1">
                    <a:lumMod val="65000"/>
                    <a:lumOff val="35000"/>
                  </a:schemeClr>
                </a:solidFill>
                <a:latin typeface="+mn-lt"/>
                <a:ea typeface="+mn-ea"/>
                <a:cs typeface="+mn-cs"/>
              </a:defRPr>
            </a:pPr>
            <a:r>
              <a:rPr lang="en-US"/>
              <a:t>Distribution of the Articles over the Years</a:t>
            </a:r>
          </a:p>
        </c:rich>
      </c:tx>
      <c:spPr>
        <a:noFill/>
        <a:ln>
          <a:noFill/>
        </a:ln>
        <a:effectLst/>
      </c:spPr>
    </c:title>
    <c:plotArea>
      <c:layout/>
      <c:lineChart>
        <c:grouping val="stacked"/>
        <c:ser>
          <c:idx val="0"/>
          <c:order val="0"/>
          <c:spPr>
            <a:ln w="349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a:outerShdw blurRad="57150" dist="19050" dir="5400000" algn="ctr" rotWithShape="0">
                  <a:srgbClr val="000000">
                    <a:alpha val="63000"/>
                  </a:srgbClr>
                </a:outerShdw>
              </a:effectLst>
            </c:spPr>
          </c:marker>
          <c:val>
            <c:numRef>
              <c:f>'[Copy of Scoping Review (2).xlsx]Лист1'!$B$2:$B$16</c:f>
              <c:numCache>
                <c:formatCode>General</c:formatCode>
                <c:ptCount val="15"/>
                <c:pt idx="0">
                  <c:v>2000</c:v>
                </c:pt>
                <c:pt idx="1">
                  <c:v>2006</c:v>
                </c:pt>
                <c:pt idx="2">
                  <c:v>2019</c:v>
                </c:pt>
                <c:pt idx="3">
                  <c:v>2007</c:v>
                </c:pt>
                <c:pt idx="4">
                  <c:v>2014</c:v>
                </c:pt>
                <c:pt idx="5">
                  <c:v>2020</c:v>
                </c:pt>
                <c:pt idx="6">
                  <c:v>2007</c:v>
                </c:pt>
                <c:pt idx="7">
                  <c:v>2009</c:v>
                </c:pt>
                <c:pt idx="8">
                  <c:v>2013</c:v>
                </c:pt>
                <c:pt idx="9">
                  <c:v>2019</c:v>
                </c:pt>
                <c:pt idx="10">
                  <c:v>2016</c:v>
                </c:pt>
                <c:pt idx="11">
                  <c:v>2019</c:v>
                </c:pt>
                <c:pt idx="12">
                  <c:v>2014</c:v>
                </c:pt>
                <c:pt idx="13">
                  <c:v>2016</c:v>
                </c:pt>
                <c:pt idx="14">
                  <c:v>2006</c:v>
                </c:pt>
              </c:numCache>
            </c:numRef>
          </c:val>
          <c:extLst xmlns:c16r2="http://schemas.microsoft.com/office/drawing/2015/06/chart">
            <c:ext xmlns:c16="http://schemas.microsoft.com/office/drawing/2014/chart" uri="{C3380CC4-5D6E-409C-BE32-E72D297353CC}">
              <c16:uniqueId val="{00000000-8F94-404D-8DF1-450CF37BE34B}"/>
            </c:ext>
          </c:extLst>
        </c:ser>
        <c:marker val="1"/>
        <c:axId val="94147328"/>
        <c:axId val="94149248"/>
      </c:lineChart>
      <c:catAx>
        <c:axId val="94147328"/>
        <c:scaling>
          <c:orientation val="minMax"/>
        </c:scaling>
        <c:axPos val="b"/>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GB" sz="900" b="0" i="0" u="none" strike="noStrike" kern="1200" baseline="0">
                <a:solidFill>
                  <a:schemeClr val="tx1">
                    <a:lumMod val="65000"/>
                    <a:lumOff val="35000"/>
                  </a:schemeClr>
                </a:solidFill>
                <a:latin typeface="+mn-lt"/>
                <a:ea typeface="+mn-ea"/>
                <a:cs typeface="+mn-cs"/>
              </a:defRPr>
            </a:pPr>
            <a:endParaRPr lang="en-US"/>
          </a:p>
        </c:txPr>
        <c:crossAx val="94149248"/>
        <c:crosses val="autoZero"/>
        <c:auto val="1"/>
        <c:lblAlgn val="ctr"/>
        <c:lblOffset val="100"/>
      </c:catAx>
      <c:valAx>
        <c:axId val="941492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GB" sz="900" b="0" i="0" u="none" strike="noStrike" kern="1200" baseline="0">
                <a:solidFill>
                  <a:schemeClr val="tx1">
                    <a:lumMod val="65000"/>
                    <a:lumOff val="35000"/>
                  </a:schemeClr>
                </a:solidFill>
                <a:latin typeface="+mn-lt"/>
                <a:ea typeface="+mn-ea"/>
                <a:cs typeface="+mn-cs"/>
              </a:defRPr>
            </a:pPr>
            <a:endParaRPr lang="en-US"/>
          </a:p>
        </c:txPr>
        <c:crossAx val="94147328"/>
        <c:crosses val="autoZero"/>
        <c:crossBetween val="between"/>
      </c:valAx>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1993</Words>
  <Characters>11365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tomminah</dc:creator>
  <cp:lastModifiedBy>Kevin</cp:lastModifiedBy>
  <cp:revision>2</cp:revision>
  <dcterms:created xsi:type="dcterms:W3CDTF">2021-09-16T19:42:00Z</dcterms:created>
  <dcterms:modified xsi:type="dcterms:W3CDTF">2021-09-16T19:42:00Z</dcterms:modified>
</cp:coreProperties>
</file>